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C6C9" w14:textId="472921DB" w:rsidR="0045159F" w:rsidRDefault="0045159F" w:rsidP="0045159F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  <w:r>
        <w:rPr>
          <w:rStyle w:val="Enfasigrassetto"/>
          <w:rFonts w:ascii="Bradley Hand ITC" w:hAnsi="Bradley Hand ITC"/>
          <w:sz w:val="40"/>
          <w:szCs w:val="40"/>
        </w:rPr>
        <w:t>NOTA INFORMATIVA</w:t>
      </w:r>
    </w:p>
    <w:p w14:paraId="1004AD45" w14:textId="2FC5819F" w:rsidR="00860418" w:rsidRDefault="00860418" w:rsidP="0045159F">
      <w:pPr>
        <w:jc w:val="center"/>
        <w:rPr>
          <w:rStyle w:val="Enfasigrassetto"/>
          <w:rFonts w:ascii="Bradley Hand ITC" w:hAnsi="Bradley Hand ITC"/>
          <w:sz w:val="40"/>
          <w:szCs w:val="40"/>
        </w:rPr>
      </w:pPr>
      <w:r>
        <w:rPr>
          <w:rStyle w:val="Enfasigrassetto"/>
          <w:rFonts w:ascii="Bradley Hand ITC" w:hAnsi="Bradley Hand ITC"/>
          <w:sz w:val="40"/>
          <w:szCs w:val="40"/>
        </w:rPr>
        <w:t xml:space="preserve">VERTENZA </w:t>
      </w:r>
    </w:p>
    <w:p w14:paraId="5E32E295" w14:textId="66B148B7" w:rsidR="00767A93" w:rsidRDefault="0045159F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FF0000"/>
        </w:rPr>
      </w:pPr>
      <w:r>
        <w:rPr>
          <w:b/>
          <w:color w:val="FF0000"/>
        </w:rPr>
        <w:t xml:space="preserve">RICORSO PERSONALE DOCENTE </w:t>
      </w:r>
      <w:r w:rsidR="007F102E">
        <w:rPr>
          <w:b/>
          <w:color w:val="FF0000"/>
        </w:rPr>
        <w:t>PRECARIO “ CARTA DEL DOCENTE”</w:t>
      </w:r>
    </w:p>
    <w:p w14:paraId="5C4ED803" w14:textId="452C2A51" w:rsidR="0045159F" w:rsidRDefault="0017573D" w:rsidP="0017573D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102E">
        <w:rPr>
          <w:b/>
          <w:color w:val="FF0000"/>
        </w:rPr>
        <w:t>“ CARTA DEL DOCENTE”</w:t>
      </w:r>
    </w:p>
    <w:p w14:paraId="40E3222A" w14:textId="77777777" w:rsidR="0045159F" w:rsidRDefault="0045159F" w:rsidP="0045159F">
      <w:pPr>
        <w:pBdr>
          <w:bottom w:val="single" w:sz="12" w:space="1" w:color="auto"/>
        </w:pBdr>
        <w:ind w:left="-208"/>
        <w:rPr>
          <w:b/>
        </w:rPr>
      </w:pPr>
    </w:p>
    <w:p w14:paraId="3608716F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0"/>
          <w:szCs w:val="30"/>
        </w:rPr>
      </w:pPr>
      <w:r>
        <w:rPr>
          <w:rFonts w:ascii="Garamond-Bold" w:hAnsi="Garamond-Bold" w:cs="Garamond-Bold"/>
          <w:b/>
          <w:bCs/>
          <w:sz w:val="26"/>
          <w:szCs w:val="26"/>
        </w:rPr>
        <w:t>Per il  Consiglio di Stato il bonus docenti va riconosciuto anche al personale precario.</w:t>
      </w:r>
    </w:p>
    <w:p w14:paraId="7CF48231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30"/>
          <w:szCs w:val="30"/>
        </w:rPr>
      </w:pPr>
    </w:p>
    <w:p w14:paraId="4B338DF5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>Secondo il Consiglio di Stato il diritto-dovere di formazione professionale e l’aggiornamento grava su tutto il personale docente e non solo su un’aliquota di esso: dunque, non è corretto ritenere che l’erogazione della Carta vada a compensare la maggiore gravosità dello sforzo richiesto ai docenti di ruolo in chiave di aggiornamento e formazione, poiché un analogo sforzo non può che essere richiesto anche ai docenti non di ruolo, a pena, in caso contrario, di creare un sistema “a doppio binario”, non in grado di assicurare la complessiva qualità dell’insegnamento.</w:t>
      </w:r>
    </w:p>
    <w:p w14:paraId="13D9C919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25047670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>Da quanto detto si evince che nel caso di specie, in mancanza di una norma che abbia innovato rispetto al d.lgs. n. 165/2001, sottraendo esplicitamente la materia della formazione professionale dei docenti alla contrattazione collettiva di categoria e riservandola in via esclusiva alla legge (statale), non risulta corretto affermare la prevalenza della disciplina di cui all’art. 1, commi 121 e segg., della l. n. 107/2015 sulle preesistenti disposizioni del C.C.N.L. di categoria e, in specie, sugli artt. 63 e 64 del C.C.N.L. del 29 novembre 2007. Del resto, è stata la medesima difesa erariale a sottolineare nel giudizio di primo grado (al pari dei ricorrenti) che “</w:t>
      </w:r>
      <w:r>
        <w:rPr>
          <w:rFonts w:ascii="Garamond-Italic" w:hAnsi="Garamond-Italic" w:cs="Garamond-Italic"/>
          <w:i/>
          <w:iCs/>
          <w:sz w:val="30"/>
          <w:szCs w:val="30"/>
        </w:rPr>
        <w:t>la "Carta elettronica per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l’aggiornamento e la formazione del docente" consiste in sostanza in una mera modalità di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erogazione della formazione (in particolare si tratta di auto formazione), materia oggetto di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disciplina da parte dei CCNL di categoria</w:t>
      </w:r>
      <w:r>
        <w:rPr>
          <w:rFonts w:ascii="Garamond" w:hAnsi="Garamond" w:cs="Garamond"/>
          <w:sz w:val="30"/>
          <w:szCs w:val="30"/>
        </w:rPr>
        <w:t>”.</w:t>
      </w:r>
    </w:p>
    <w:p w14:paraId="37405C90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3B2BCACB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>Ne discende che la questione dei destinatari della Carte del docente va riguardata tenendo conto anche della disciplina prevista in tema di formazione dei docenti dal C.C.N.L. di categoria: questa va letta in chiave non di incompatibilità, ma di complementarietà rispetto al disposto dell’art. 1, commi da 121 a 124, della l. n. 107/2015. L’interpretazione di tali commi deve, cioè, tenere conto delle regole in materia di formazione del personale docente dettate dagli artt. 63 e 64 del C.C.N.L. di categoria: regole che pongono a carico dell’Amministrazione l’obbligo di fornire a tutto il personale docente, senza alcuna distinzione tra docenti a tempo indeterminato e a tempo determinato, “</w:t>
      </w:r>
      <w:r>
        <w:rPr>
          <w:rFonts w:ascii="Garamond-Italic" w:hAnsi="Garamond-Italic" w:cs="Garamond-Italic"/>
          <w:i/>
          <w:iCs/>
          <w:sz w:val="30"/>
          <w:szCs w:val="30"/>
        </w:rPr>
        <w:t>strumenti, risorse e opportunità che garantiscano la formazione in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servizio</w:t>
      </w:r>
      <w:r>
        <w:rPr>
          <w:rFonts w:ascii="Garamond" w:hAnsi="Garamond" w:cs="Garamond"/>
          <w:sz w:val="30"/>
          <w:szCs w:val="30"/>
        </w:rPr>
        <w:t xml:space="preserve">” (così il comma 1 dell’art. 63 cit.). E non vi è dubbio che tra tali </w:t>
      </w:r>
      <w:r>
        <w:rPr>
          <w:rFonts w:ascii="Garamond" w:hAnsi="Garamond" w:cs="Garamond"/>
          <w:sz w:val="30"/>
          <w:szCs w:val="30"/>
        </w:rPr>
        <w:lastRenderedPageBreak/>
        <w:t xml:space="preserve">strumenti possa (e anzi debba) essere compresa la Carta del docente, di tal ché si può per tal via affermare che di essa sono destinatari anche i docenti a tempo determinato (come gli appellanti), così colmandosi la lacuna previsionale dell’art. 1, comma 121, della l. n. 107/2015, che menziona i soli docenti di ruolo: sussiste, infatti, un’indiscutibile identità di </w:t>
      </w:r>
      <w:r>
        <w:rPr>
          <w:rFonts w:ascii="Garamond-Italic" w:hAnsi="Garamond-Italic" w:cs="Garamond-Italic"/>
          <w:i/>
          <w:iCs/>
          <w:sz w:val="30"/>
          <w:szCs w:val="30"/>
        </w:rPr>
        <w:t xml:space="preserve">ratio </w:t>
      </w:r>
      <w:r>
        <w:rPr>
          <w:rFonts w:ascii="Garamond" w:hAnsi="Garamond" w:cs="Garamond"/>
          <w:sz w:val="30"/>
          <w:szCs w:val="30"/>
        </w:rPr>
        <w:t>– la già ricordata necessità di garantire la qualità dell’insegnamento – che consente di colmare in via interpretativa la predetta lacuna.</w:t>
      </w:r>
    </w:p>
    <w:p w14:paraId="1A0F965B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6307D4E8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In conclusione, va dichiarata l’illegittimità del  d.P.C.M. del 23 settembre 2015 e la nota del M.I.U.R. n. 15219 del 15 ottobre 2015, nella parte in cui escludono i docenti non di ruolo dall’erogazione della cd. Carta del docente, stante la contrarietà di detta esclusione rispetto ai precetti degli artt. 3, 35 e 97 Cost.: ciò che, come già visto, consente di prescindere dalla questione – dedotta con gli altri motivi dell’appello – della conformità della succitata esclusione alla normativa comunitaria, perché, in disparte la fondatezza o meno della questione pregiudiziale comunitaria, gli atti impugnati sono in ogni caso viziati </w:t>
      </w:r>
      <w:r>
        <w:rPr>
          <w:rFonts w:ascii="Garamond-Italic" w:hAnsi="Garamond-Italic" w:cs="Garamond-Italic"/>
          <w:i/>
          <w:iCs/>
          <w:sz w:val="30"/>
          <w:szCs w:val="30"/>
        </w:rPr>
        <w:t>in parte</w:t>
      </w:r>
      <w:r>
        <w:rPr>
          <w:rFonts w:ascii="Garamond" w:hAnsi="Garamond" w:cs="Garamond"/>
          <w:sz w:val="30"/>
          <w:szCs w:val="30"/>
        </w:rPr>
        <w:t xml:space="preserve"> </w:t>
      </w:r>
      <w:r>
        <w:rPr>
          <w:rFonts w:ascii="Garamond-Italic" w:hAnsi="Garamond-Italic" w:cs="Garamond-Italic"/>
          <w:i/>
          <w:iCs/>
          <w:sz w:val="30"/>
          <w:szCs w:val="30"/>
        </w:rPr>
        <w:t>qua</w:t>
      </w:r>
      <w:r>
        <w:rPr>
          <w:rFonts w:ascii="Garamond" w:hAnsi="Garamond" w:cs="Garamond"/>
          <w:sz w:val="30"/>
          <w:szCs w:val="30"/>
        </w:rPr>
        <w:t>.</w:t>
      </w:r>
    </w:p>
    <w:p w14:paraId="3E7FBCCC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>Per l’effetto, in riforma della sentenza impugnata, il ricorso di primo grado deve essere accolto, con conseguente annullamento degli atti impugnati nella parte in cui non contemplano i docenti non di ruolo tra i destinatari della “Carta del docente”.</w:t>
      </w:r>
    </w:p>
    <w:p w14:paraId="457AA2E5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0CC7FB4B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Queste le motivazioni in estrema sintesi della sentenza del Consiglio di Stato ora tutti i precari potranno agire per ottenere il riconoscimento della Carta docente attraverso una specifica ed autonoma azione. </w:t>
      </w:r>
    </w:p>
    <w:p w14:paraId="6F002663" w14:textId="77777777" w:rsidR="007F102E" w:rsidRDefault="007F102E" w:rsidP="007F1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0"/>
          <w:szCs w:val="30"/>
        </w:rPr>
      </w:pPr>
    </w:p>
    <w:p w14:paraId="3B3441B3" w14:textId="77777777" w:rsidR="0017573D" w:rsidRDefault="0017573D" w:rsidP="00767A93">
      <w:pPr>
        <w:shd w:val="clear" w:color="auto" w:fill="FFFFFF"/>
        <w:jc w:val="both"/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</w:pPr>
    </w:p>
    <w:p w14:paraId="2BF83217" w14:textId="77777777" w:rsidR="00767A93" w:rsidRDefault="00767A93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</w:pPr>
    </w:p>
    <w:p w14:paraId="6BA66B41" w14:textId="77777777" w:rsidR="00767A93" w:rsidRDefault="00767A93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</w:pPr>
      <w:r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  <w:t>I documenti necessari per procedere con il ricorso:</w:t>
      </w:r>
    </w:p>
    <w:p w14:paraId="6A6D80B7" w14:textId="77777777" w:rsidR="00767A93" w:rsidRDefault="00767A93" w:rsidP="0076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Bookman Old Style" w:eastAsia="Arial Unicode MS" w:hAnsi="Bookman Old Style" w:cs="Arial Unicode MS"/>
          <w:b/>
          <w:color w:val="373737"/>
          <w:sz w:val="32"/>
          <w:szCs w:val="32"/>
          <w:shd w:val="clear" w:color="auto" w:fill="FFFFFF"/>
        </w:rPr>
      </w:pPr>
    </w:p>
    <w:p w14:paraId="05EFE019" w14:textId="77777777" w:rsidR="00767A93" w:rsidRDefault="00767A93" w:rsidP="00767A93">
      <w:pPr>
        <w:shd w:val="clear" w:color="auto" w:fill="FFFFFF"/>
        <w:jc w:val="both"/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</w:pPr>
    </w:p>
    <w:p w14:paraId="5E74DCF9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bookmarkStart w:id="0" w:name="OLE_LINK294"/>
      <w:bookmarkStart w:id="1" w:name="OLE_LINK295"/>
      <w:bookmarkStart w:id="2" w:name="OLE_LINK296"/>
      <w:bookmarkStart w:id="3" w:name="OLE_LINK297"/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C</w:t>
      </w:r>
      <w:bookmarkEnd w:id="0"/>
      <w:bookmarkEnd w:id="1"/>
      <w:bookmarkEnd w:id="2"/>
      <w:bookmarkEnd w:id="3"/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opia di un documento di riconoscimento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; </w:t>
      </w:r>
    </w:p>
    <w:p w14:paraId="444E17A5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Procura alle liti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 (vedi doc. allegata)</w:t>
      </w:r>
    </w:p>
    <w:p w14:paraId="02EDF0F5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67A93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Privacy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  (vedi doc. allegata) ;  </w:t>
      </w:r>
    </w:p>
    <w:p w14:paraId="7D419C93" w14:textId="77777777" w:rsidR="00767A93" w:rsidRPr="00A3043A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633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14D06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Dichiarazione di esenzione per il pagamento del contributo unificato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 </w:t>
      </w:r>
      <w:r w:rsidRPr="003178EB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 xml:space="preserve">N.B. </w:t>
      </w:r>
      <w:r w:rsidRPr="00714D06">
        <w:rPr>
          <w:rFonts w:ascii="Bookman Old Style" w:eastAsia="Arial Unicode MS" w:hAnsi="Bookman Old Style" w:cs="Arial Unicode MS"/>
          <w:i/>
          <w:color w:val="373737"/>
          <w:sz w:val="32"/>
          <w:szCs w:val="32"/>
          <w:shd w:val="clear" w:color="auto" w:fill="FFFFFF"/>
        </w:rPr>
        <w:t>in caso si superi il reddito la dichiarazione dovrà essere sbarrata e non compilata</w:t>
      </w:r>
      <w:r>
        <w:rPr>
          <w:rFonts w:ascii="Bookman Old Style" w:eastAsia="Arial Unicode MS" w:hAnsi="Bookman Old Style" w:cs="Arial Unicode MS"/>
          <w:i/>
          <w:color w:val="373737"/>
          <w:sz w:val="32"/>
          <w:szCs w:val="32"/>
          <w:shd w:val="clear" w:color="auto" w:fill="FFFFFF"/>
        </w:rPr>
        <w:t xml:space="preserve"> 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>(vedi doc. allegata)</w:t>
      </w:r>
      <w:r w:rsidRPr="00A3043A"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; </w:t>
      </w:r>
    </w:p>
    <w:p w14:paraId="4339DEC6" w14:textId="1B8ACBC1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14D06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lastRenderedPageBreak/>
        <w:t xml:space="preserve">Copia </w:t>
      </w:r>
      <w:r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contratti di lavoro a tempo determinato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; </w:t>
      </w:r>
    </w:p>
    <w:p w14:paraId="1E241CB6" w14:textId="77777777" w:rsidR="00767A93" w:rsidRDefault="00767A93" w:rsidP="00767A9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426" w:hanging="66"/>
        <w:jc w:val="both"/>
        <w:rPr>
          <w:rFonts w:ascii="Bookman Old Style" w:eastAsia="Arial Unicode MS" w:hAnsi="Bookman Old Style" w:cs="Arial Unicode MS"/>
          <w:color w:val="222222"/>
          <w:sz w:val="32"/>
          <w:szCs w:val="32"/>
        </w:rPr>
      </w:pPr>
      <w:r w:rsidRPr="00714D06"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>Contratto per compenso professionale</w:t>
      </w:r>
      <w:r>
        <w:rPr>
          <w:rFonts w:ascii="Bookman Old Style" w:eastAsia="Arial Unicode MS" w:hAnsi="Bookman Old Style" w:cs="Arial Unicode MS"/>
          <w:b/>
          <w:bCs/>
          <w:color w:val="373737"/>
          <w:sz w:val="32"/>
          <w:szCs w:val="32"/>
          <w:shd w:val="clear" w:color="auto" w:fill="FFFFFF"/>
        </w:rPr>
        <w:t xml:space="preserve"> </w:t>
      </w:r>
      <w:r>
        <w:rPr>
          <w:rFonts w:ascii="Bookman Old Style" w:eastAsia="Arial Unicode MS" w:hAnsi="Bookman Old Style" w:cs="Arial Unicode MS"/>
          <w:color w:val="373737"/>
          <w:sz w:val="32"/>
          <w:szCs w:val="32"/>
          <w:shd w:val="clear" w:color="auto" w:fill="FFFFFF"/>
        </w:rPr>
        <w:t xml:space="preserve">(vedi doc. allegata); </w:t>
      </w:r>
    </w:p>
    <w:p w14:paraId="0E69BE4D" w14:textId="77777777" w:rsidR="00767A93" w:rsidRDefault="00767A93" w:rsidP="00767A93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</w:p>
    <w:p w14:paraId="4C2AE7AD" w14:textId="0803A1FB" w:rsidR="00767A93" w:rsidRDefault="00767A93" w:rsidP="00767A93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color w:val="000000"/>
          <w:sz w:val="32"/>
          <w:szCs w:val="32"/>
        </w:rPr>
        <w:t xml:space="preserve">Si resta a disposizione per ogni eventuale chiarimento si rendesse utile acquisire. </w:t>
      </w:r>
    </w:p>
    <w:p w14:paraId="2506C731" w14:textId="77777777" w:rsidR="00767A93" w:rsidRDefault="00767A93" w:rsidP="00767A93">
      <w:pPr>
        <w:jc w:val="both"/>
        <w:rPr>
          <w:rFonts w:ascii="Bookman Old Style" w:eastAsia="Arial Unicode MS" w:hAnsi="Bookman Old Style" w:cs="Arial Unicode MS"/>
          <w:color w:val="000000"/>
          <w:sz w:val="32"/>
          <w:szCs w:val="32"/>
        </w:rPr>
      </w:pPr>
    </w:p>
    <w:p w14:paraId="1014797F" w14:textId="77777777" w:rsidR="00767A93" w:rsidRDefault="00767A93" w:rsidP="00767A93">
      <w:pPr>
        <w:pBdr>
          <w:bottom w:val="single" w:sz="12" w:space="1" w:color="auto"/>
        </w:pBdr>
        <w:shd w:val="clear" w:color="auto" w:fill="FFFFFF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CC0000"/>
          <w:sz w:val="36"/>
          <w:szCs w:val="36"/>
        </w:rPr>
        <w:t>​</w:t>
      </w:r>
    </w:p>
    <w:p w14:paraId="7C85B6AE" w14:textId="77777777" w:rsidR="00767A93" w:rsidRDefault="00767A93" w:rsidP="00767A93">
      <w:pPr>
        <w:jc w:val="both"/>
        <w:rPr>
          <w:rFonts w:ascii="Bookman Old Style" w:hAnsi="Bookman Old Style" w:cs="Arial"/>
          <w:color w:val="000000"/>
          <w:sz w:val="32"/>
          <w:szCs w:val="32"/>
        </w:rPr>
      </w:pPr>
      <w:r>
        <w:rPr>
          <w:rFonts w:ascii="Bookman Old Style" w:eastAsia="Arial Unicode MS" w:hAnsi="Bookman Old Style" w:cs="Arial Unicode MS"/>
          <w:color w:val="000000"/>
          <w:sz w:val="32"/>
          <w:szCs w:val="32"/>
        </w:rPr>
        <w:t>Avv</w:t>
      </w:r>
      <w:r>
        <w:rPr>
          <w:rFonts w:ascii="Bookman Old Style" w:hAnsi="Bookman Old Style" w:cs="Arial"/>
          <w:color w:val="000000"/>
          <w:sz w:val="32"/>
          <w:szCs w:val="32"/>
        </w:rPr>
        <w:t xml:space="preserve">. Domenico Naso      </w:t>
      </w:r>
    </w:p>
    <w:p w14:paraId="30BE1E3C" w14:textId="77777777" w:rsidR="00767A93" w:rsidRDefault="00767A93" w:rsidP="00767A93"/>
    <w:p w14:paraId="446C0D15" w14:textId="77777777" w:rsidR="0045159F" w:rsidRDefault="0045159F"/>
    <w:sectPr w:rsidR="00451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3C4A" w14:textId="77777777" w:rsidR="005F21F8" w:rsidRDefault="005F21F8" w:rsidP="0045159F">
      <w:pPr>
        <w:spacing w:after="0" w:line="240" w:lineRule="auto"/>
      </w:pPr>
      <w:r>
        <w:separator/>
      </w:r>
    </w:p>
  </w:endnote>
  <w:endnote w:type="continuationSeparator" w:id="0">
    <w:p w14:paraId="21B0B6CF" w14:textId="77777777" w:rsidR="005F21F8" w:rsidRDefault="005F21F8" w:rsidP="0045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1EA8" w14:textId="77777777" w:rsidR="0018111B" w:rsidRDefault="001811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88B8" w14:textId="77777777" w:rsidR="0018111B" w:rsidRDefault="001811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3B76" w14:textId="77777777" w:rsidR="0018111B" w:rsidRDefault="001811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8F11" w14:textId="77777777" w:rsidR="005F21F8" w:rsidRDefault="005F21F8" w:rsidP="0045159F">
      <w:pPr>
        <w:spacing w:after="0" w:line="240" w:lineRule="auto"/>
      </w:pPr>
      <w:r>
        <w:separator/>
      </w:r>
    </w:p>
  </w:footnote>
  <w:footnote w:type="continuationSeparator" w:id="0">
    <w:p w14:paraId="2D29523B" w14:textId="77777777" w:rsidR="005F21F8" w:rsidRDefault="005F21F8" w:rsidP="0045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68DA" w14:textId="77777777" w:rsidR="0018111B" w:rsidRDefault="001811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1E45" w14:textId="520D22EB" w:rsidR="0045159F" w:rsidRDefault="0045159F" w:rsidP="0018111B">
    <w:pPr>
      <w:spacing w:line="264" w:lineRule="auto"/>
      <w:rPr>
        <w:b/>
      </w:rPr>
    </w:pPr>
    <w:r w:rsidRPr="0045159F">
      <w:rPr>
        <w:rFonts w:ascii="Arial Black" w:hAnsi="Arial Black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7A0A5" wp14:editId="474AC4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975554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>
      <w:rPr>
        <w:b/>
      </w:rPr>
      <w:t xml:space="preserve">UFFICIO LEGALE </w:t>
    </w:r>
  </w:p>
  <w:p w14:paraId="4DFFF207" w14:textId="755184AA" w:rsidR="0045159F" w:rsidRDefault="0045159F">
    <w:pPr>
      <w:pStyle w:val="Intestazione"/>
    </w:pPr>
    <w:r>
      <w:t xml:space="preserve">Avv. Domenico Naso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FA8D" w14:textId="77777777" w:rsidR="0018111B" w:rsidRDefault="001811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D39"/>
    <w:multiLevelType w:val="hybridMultilevel"/>
    <w:tmpl w:val="447EE658"/>
    <w:lvl w:ilvl="0" w:tplc="CC30ECC0">
      <w:start w:val="1"/>
      <w:numFmt w:val="decimal"/>
      <w:lvlText w:val="%1)"/>
      <w:lvlJc w:val="left"/>
      <w:pPr>
        <w:ind w:left="43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7" w:hanging="360"/>
      </w:pPr>
    </w:lvl>
    <w:lvl w:ilvl="2" w:tplc="0410001B" w:tentative="1">
      <w:start w:val="1"/>
      <w:numFmt w:val="lowerRoman"/>
      <w:lvlText w:val="%3."/>
      <w:lvlJc w:val="right"/>
      <w:pPr>
        <w:ind w:left="1517" w:hanging="180"/>
      </w:pPr>
    </w:lvl>
    <w:lvl w:ilvl="3" w:tplc="0410000F" w:tentative="1">
      <w:start w:val="1"/>
      <w:numFmt w:val="decimal"/>
      <w:lvlText w:val="%4."/>
      <w:lvlJc w:val="left"/>
      <w:pPr>
        <w:ind w:left="2237" w:hanging="360"/>
      </w:pPr>
    </w:lvl>
    <w:lvl w:ilvl="4" w:tplc="04100019" w:tentative="1">
      <w:start w:val="1"/>
      <w:numFmt w:val="lowerLetter"/>
      <w:lvlText w:val="%5."/>
      <w:lvlJc w:val="left"/>
      <w:pPr>
        <w:ind w:left="2957" w:hanging="360"/>
      </w:pPr>
    </w:lvl>
    <w:lvl w:ilvl="5" w:tplc="0410001B" w:tentative="1">
      <w:start w:val="1"/>
      <w:numFmt w:val="lowerRoman"/>
      <w:lvlText w:val="%6."/>
      <w:lvlJc w:val="right"/>
      <w:pPr>
        <w:ind w:left="3677" w:hanging="180"/>
      </w:pPr>
    </w:lvl>
    <w:lvl w:ilvl="6" w:tplc="0410000F" w:tentative="1">
      <w:start w:val="1"/>
      <w:numFmt w:val="decimal"/>
      <w:lvlText w:val="%7."/>
      <w:lvlJc w:val="left"/>
      <w:pPr>
        <w:ind w:left="4397" w:hanging="360"/>
      </w:pPr>
    </w:lvl>
    <w:lvl w:ilvl="7" w:tplc="04100019" w:tentative="1">
      <w:start w:val="1"/>
      <w:numFmt w:val="lowerLetter"/>
      <w:lvlText w:val="%8."/>
      <w:lvlJc w:val="left"/>
      <w:pPr>
        <w:ind w:left="5117" w:hanging="360"/>
      </w:pPr>
    </w:lvl>
    <w:lvl w:ilvl="8" w:tplc="041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119C47FA"/>
    <w:multiLevelType w:val="hybridMultilevel"/>
    <w:tmpl w:val="0EE60772"/>
    <w:lvl w:ilvl="0" w:tplc="0410000B">
      <w:start w:val="1"/>
      <w:numFmt w:val="bullet"/>
      <w:lvlText w:val=""/>
      <w:lvlJc w:val="left"/>
      <w:pPr>
        <w:ind w:left="-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" w15:restartNumberingAfterBreak="0">
    <w:nsid w:val="33E228A3"/>
    <w:multiLevelType w:val="multilevel"/>
    <w:tmpl w:val="513A9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179B6"/>
    <w:multiLevelType w:val="hybridMultilevel"/>
    <w:tmpl w:val="155E06B4"/>
    <w:lvl w:ilvl="0" w:tplc="0410000F">
      <w:start w:val="1"/>
      <w:numFmt w:val="decimal"/>
      <w:lvlText w:val="%1.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60975C4E"/>
    <w:multiLevelType w:val="hybridMultilevel"/>
    <w:tmpl w:val="1A14B4CC"/>
    <w:lvl w:ilvl="0" w:tplc="B9266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Schoolbook" w:hAnsi="Century Schoolbook" w:cs="Times New Roman" w:hint="default"/>
        <w:color w:val="37373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115B"/>
    <w:multiLevelType w:val="hybridMultilevel"/>
    <w:tmpl w:val="62FCC4FE"/>
    <w:lvl w:ilvl="0" w:tplc="0848F974">
      <w:start w:val="1"/>
      <w:numFmt w:val="lowerLetter"/>
      <w:lvlText w:val="%1)"/>
      <w:lvlJc w:val="left"/>
      <w:pPr>
        <w:ind w:left="1080" w:hanging="360"/>
      </w:pPr>
      <w:rPr>
        <w:rFonts w:ascii="Century Schoolbook" w:hAnsi="Century Schoolbook" w:cs="Times New Roman" w:hint="default"/>
        <w:color w:val="373737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9F"/>
    <w:rsid w:val="0017573D"/>
    <w:rsid w:val="0018111B"/>
    <w:rsid w:val="004228FF"/>
    <w:rsid w:val="0045159F"/>
    <w:rsid w:val="00510070"/>
    <w:rsid w:val="005F21F8"/>
    <w:rsid w:val="00767A93"/>
    <w:rsid w:val="00792B4B"/>
    <w:rsid w:val="007F102E"/>
    <w:rsid w:val="00860418"/>
    <w:rsid w:val="00A058C6"/>
    <w:rsid w:val="00A8529F"/>
    <w:rsid w:val="00B46818"/>
    <w:rsid w:val="00D5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F3D4"/>
  <w15:chartTrackingRefBased/>
  <w15:docId w15:val="{66CCE51F-FE32-4D21-9A4E-898089C5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159F"/>
    <w:pPr>
      <w:tabs>
        <w:tab w:val="center" w:pos="4819"/>
        <w:tab w:val="right" w:pos="9638"/>
      </w:tabs>
      <w:autoSpaceDE w:val="0"/>
      <w:autoSpaceDN w:val="0"/>
      <w:adjustRightInd w:val="0"/>
      <w:spacing w:after="0" w:line="360" w:lineRule="auto"/>
      <w:ind w:left="-567" w:right="-567" w:firstLine="284"/>
      <w:jc w:val="both"/>
    </w:pPr>
    <w:rPr>
      <w:rFonts w:ascii="Garamond" w:eastAsia="Times New Roman" w:hAnsi="Garamond" w:cs="Times New Roman"/>
      <w:sz w:val="32"/>
      <w:szCs w:val="3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59F"/>
    <w:rPr>
      <w:rFonts w:ascii="Garamond" w:eastAsia="Times New Roman" w:hAnsi="Garamond" w:cs="Times New Roman"/>
      <w:sz w:val="32"/>
      <w:szCs w:val="32"/>
      <w:lang w:eastAsia="it-IT"/>
    </w:rPr>
  </w:style>
  <w:style w:type="character" w:styleId="Enfasigrassetto">
    <w:name w:val="Strong"/>
    <w:basedOn w:val="Carpredefinitoparagrafo"/>
    <w:uiPriority w:val="22"/>
    <w:qFormat/>
    <w:rsid w:val="0045159F"/>
    <w:rPr>
      <w:b/>
      <w:bCs/>
    </w:rPr>
  </w:style>
  <w:style w:type="paragraph" w:styleId="Paragrafoelenco">
    <w:name w:val="List Paragraph"/>
    <w:basedOn w:val="Normale"/>
    <w:uiPriority w:val="34"/>
    <w:qFormat/>
    <w:rsid w:val="0045159F"/>
    <w:pPr>
      <w:autoSpaceDE w:val="0"/>
      <w:autoSpaceDN w:val="0"/>
      <w:adjustRightInd w:val="0"/>
      <w:spacing w:after="0" w:line="360" w:lineRule="auto"/>
      <w:ind w:left="720" w:right="-567" w:firstLine="284"/>
      <w:contextualSpacing/>
      <w:jc w:val="both"/>
    </w:pPr>
    <w:rPr>
      <w:rFonts w:ascii="Garamond" w:eastAsia="Times New Roman" w:hAnsi="Garamond" w:cs="Times New Roman"/>
      <w:sz w:val="32"/>
      <w:szCs w:val="32"/>
      <w:lang w:eastAsia="it-IT"/>
    </w:rPr>
  </w:style>
  <w:style w:type="character" w:styleId="Collegamentoipertestuale">
    <w:name w:val="Hyperlink"/>
    <w:rsid w:val="0045159F"/>
    <w:rPr>
      <w:color w:val="0000FF"/>
      <w:u w:val="single"/>
    </w:rPr>
  </w:style>
  <w:style w:type="paragraph" w:styleId="NormaleWeb">
    <w:name w:val="Normal (Web)"/>
    <w:basedOn w:val="Normale"/>
    <w:uiPriority w:val="99"/>
    <w:rsid w:val="0045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45159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51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dnaso</dc:creator>
  <cp:keywords/>
  <dc:description/>
  <cp:lastModifiedBy>Giuseppe D'Aprile</cp:lastModifiedBy>
  <cp:revision>8</cp:revision>
  <dcterms:created xsi:type="dcterms:W3CDTF">2021-03-07T18:22:00Z</dcterms:created>
  <dcterms:modified xsi:type="dcterms:W3CDTF">2022-03-17T15:23:00Z</dcterms:modified>
</cp:coreProperties>
</file>